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AB0A7" w14:textId="2F11171E" w:rsidR="006D6A92" w:rsidRDefault="006D6A92" w:rsidP="006D6A92">
      <w:pPr>
        <w:jc w:val="center"/>
        <w:rPr>
          <w:rFonts w:eastAsia="Google Sans"/>
          <w:b/>
          <w:bCs/>
          <w:color w:val="1F1F1F"/>
          <w:sz w:val="28"/>
          <w:szCs w:val="28"/>
        </w:rPr>
      </w:pPr>
      <w:r w:rsidRPr="005D029F">
        <w:rPr>
          <w:rFonts w:eastAsia="Google Sans"/>
          <w:b/>
          <w:bCs/>
          <w:color w:val="1F1F1F"/>
          <w:sz w:val="28"/>
          <w:szCs w:val="28"/>
        </w:rPr>
        <w:t>Profiling of CYP17A1 Mutations Defines the Molecular Basis of Partial Enzyme Deficiencies.</w:t>
      </w:r>
    </w:p>
    <w:p w14:paraId="04BFFF1B" w14:textId="77777777" w:rsidR="00C1730A" w:rsidRDefault="00C1730A" w:rsidP="006D6A92">
      <w:pPr>
        <w:jc w:val="center"/>
        <w:rPr>
          <w:rFonts w:eastAsia="Google Sans"/>
          <w:b/>
          <w:bCs/>
          <w:color w:val="1F1F1F"/>
          <w:sz w:val="28"/>
          <w:szCs w:val="28"/>
        </w:rPr>
      </w:pPr>
    </w:p>
    <w:p w14:paraId="5357300C" w14:textId="77777777" w:rsidR="006D6A92" w:rsidRPr="00C1730A" w:rsidRDefault="006D6A92" w:rsidP="006D6A92">
      <w:pPr>
        <w:jc w:val="both"/>
        <w:rPr>
          <w:vertAlign w:val="superscript"/>
          <w:lang w:val="fr-FR"/>
        </w:rPr>
      </w:pPr>
      <w:r w:rsidRPr="00C1730A">
        <w:rPr>
          <w:lang w:val="fr-FR"/>
        </w:rPr>
        <w:t>Kaige Li</w:t>
      </w:r>
      <w:r w:rsidRPr="00C1730A">
        <w:rPr>
          <w:vertAlign w:val="superscript"/>
          <w:lang w:val="fr-FR"/>
        </w:rPr>
        <w:t>1,2,3</w:t>
      </w:r>
      <w:r w:rsidRPr="00C1730A">
        <w:rPr>
          <w:lang w:val="fr-FR"/>
        </w:rPr>
        <w:t>, Jibira Yakubu</w:t>
      </w:r>
      <w:r w:rsidRPr="00C1730A">
        <w:rPr>
          <w:vertAlign w:val="superscript"/>
          <w:lang w:val="fr-FR"/>
        </w:rPr>
        <w:t>1,2,3</w:t>
      </w:r>
      <w:r w:rsidRPr="00C1730A">
        <w:rPr>
          <w:lang w:val="fr-FR"/>
        </w:rPr>
        <w:t xml:space="preserve">, </w:t>
      </w:r>
      <w:r w:rsidRPr="00C1730A">
        <w:rPr>
          <w:rFonts w:eastAsia="Times New Roman"/>
          <w:color w:val="000000"/>
          <w:lang w:val="da-DK"/>
        </w:rPr>
        <w:t>Flemming Steen Jørgensen</w:t>
      </w:r>
      <w:proofErr w:type="gramStart"/>
      <w:r w:rsidRPr="00C1730A">
        <w:rPr>
          <w:rFonts w:eastAsia="Times New Roman"/>
          <w:color w:val="000000"/>
          <w:vertAlign w:val="superscript"/>
          <w:lang w:val="da-DK"/>
        </w:rPr>
        <w:t>4</w:t>
      </w:r>
      <w:r w:rsidRPr="00C1730A">
        <w:rPr>
          <w:lang w:val="fr-FR"/>
        </w:rPr>
        <w:t xml:space="preserve"> ,</w:t>
      </w:r>
      <w:proofErr w:type="gramEnd"/>
      <w:r w:rsidRPr="00C1730A">
        <w:rPr>
          <w:lang w:val="fr-FR"/>
        </w:rPr>
        <w:t xml:space="preserve"> Amit V. Pandey</w:t>
      </w:r>
      <w:r w:rsidRPr="00C1730A">
        <w:rPr>
          <w:vertAlign w:val="superscript"/>
          <w:lang w:val="fr-FR"/>
        </w:rPr>
        <w:t>1,</w:t>
      </w:r>
      <w:proofErr w:type="gramStart"/>
      <w:r w:rsidRPr="00C1730A">
        <w:rPr>
          <w:vertAlign w:val="superscript"/>
          <w:lang w:val="fr-FR"/>
        </w:rPr>
        <w:t>2,*</w:t>
      </w:r>
      <w:proofErr w:type="gramEnd"/>
    </w:p>
    <w:p w14:paraId="449C39D7" w14:textId="77777777" w:rsidR="006D6A92" w:rsidRPr="00C1730A" w:rsidRDefault="006D6A92" w:rsidP="006D6A92">
      <w:pPr>
        <w:jc w:val="both"/>
        <w:rPr>
          <w:vertAlign w:val="superscript"/>
          <w:lang w:val="fr-FR"/>
        </w:rPr>
      </w:pPr>
    </w:p>
    <w:p w14:paraId="0402AC04" w14:textId="77777777" w:rsidR="006D6A92" w:rsidRPr="00C1730A" w:rsidRDefault="006D6A92" w:rsidP="006D6A92">
      <w:pPr>
        <w:jc w:val="both"/>
      </w:pPr>
      <w:r w:rsidRPr="00C1730A">
        <w:rPr>
          <w:vertAlign w:val="superscript"/>
        </w:rPr>
        <w:t>1</w:t>
      </w:r>
      <w:r w:rsidRPr="00C1730A">
        <w:t xml:space="preserve">Pediatric Endocrinology, Diabetology and Metabolism, University Children’s Hospital, </w:t>
      </w:r>
      <w:proofErr w:type="spellStart"/>
      <w:r w:rsidRPr="00C1730A">
        <w:t>Inselspital</w:t>
      </w:r>
      <w:proofErr w:type="spellEnd"/>
      <w:r w:rsidRPr="00C1730A">
        <w:t>, Bern, Switzerland.</w:t>
      </w:r>
    </w:p>
    <w:p w14:paraId="758DC9E6" w14:textId="77777777" w:rsidR="006D6A92" w:rsidRPr="00C1730A" w:rsidRDefault="006D6A92" w:rsidP="006D6A92">
      <w:pPr>
        <w:jc w:val="both"/>
      </w:pPr>
      <w:r w:rsidRPr="00C1730A">
        <w:rPr>
          <w:vertAlign w:val="superscript"/>
        </w:rPr>
        <w:t>2</w:t>
      </w:r>
      <w:r w:rsidRPr="00C1730A">
        <w:t xml:space="preserve">Translational Hormone Research Program, Department of Biomedical Research, Faculty of Medicine, University of Bern, Bern, Switzerland. </w:t>
      </w:r>
    </w:p>
    <w:p w14:paraId="5B878273" w14:textId="77777777" w:rsidR="006D6A92" w:rsidRPr="00C1730A" w:rsidRDefault="006D6A92" w:rsidP="006D6A92">
      <w:pPr>
        <w:jc w:val="both"/>
      </w:pPr>
      <w:r w:rsidRPr="00C1730A">
        <w:rPr>
          <w:vertAlign w:val="superscript"/>
        </w:rPr>
        <w:t>3</w:t>
      </w:r>
      <w:r w:rsidRPr="00C1730A">
        <w:t>Graduate School for Cellular and Biomedical Sciences, University of Bern, Bern, Switzerland.</w:t>
      </w:r>
    </w:p>
    <w:p w14:paraId="78A46664" w14:textId="77777777" w:rsidR="006D6A92" w:rsidRPr="00C1730A" w:rsidRDefault="006D6A92" w:rsidP="006D6A92">
      <w:pPr>
        <w:pStyle w:val="Subtitle"/>
        <w:spacing w:after="0"/>
        <w:jc w:val="both"/>
        <w:rPr>
          <w:rFonts w:ascii="Arial" w:eastAsia="Times New Roman" w:hAnsi="Arial" w:cs="Arial"/>
          <w:i/>
          <w:iCs/>
          <w:color w:val="000000"/>
          <w:sz w:val="22"/>
          <w:szCs w:val="22"/>
        </w:rPr>
      </w:pPr>
      <w:r w:rsidRPr="00C1730A">
        <w:rPr>
          <w:rFonts w:ascii="Arial" w:eastAsia="Times New Roman" w:hAnsi="Arial" w:cs="Arial"/>
          <w:color w:val="000000"/>
          <w:sz w:val="22"/>
          <w:szCs w:val="22"/>
          <w:vertAlign w:val="superscript"/>
        </w:rPr>
        <w:t>4</w:t>
      </w:r>
      <w:r w:rsidRPr="00C1730A">
        <w:rPr>
          <w:rFonts w:ascii="Arial" w:eastAsia="Times New Roman" w:hAnsi="Arial" w:cs="Arial"/>
          <w:color w:val="000000"/>
          <w:sz w:val="22"/>
          <w:szCs w:val="22"/>
        </w:rPr>
        <w:t>Department of Drug Design and Pharmacology, University of Copenhagen, DK-2100 Copenhagen, Denmark</w:t>
      </w:r>
    </w:p>
    <w:p w14:paraId="58D08A51" w14:textId="77777777" w:rsidR="006D6A92" w:rsidRPr="005D029F" w:rsidRDefault="006D6A92" w:rsidP="006D6A92">
      <w:pPr>
        <w:jc w:val="both"/>
        <w:rPr>
          <w:rFonts w:eastAsia="Google Sans"/>
          <w:b/>
          <w:bCs/>
          <w:color w:val="1F1F1F"/>
          <w:sz w:val="28"/>
          <w:szCs w:val="28"/>
        </w:rPr>
      </w:pPr>
    </w:p>
    <w:p w14:paraId="5FDD2BEA" w14:textId="77777777" w:rsidR="00C42A6B" w:rsidRPr="0089554B" w:rsidRDefault="00C42A6B" w:rsidP="00C42A6B">
      <w:pPr>
        <w:jc w:val="both"/>
        <w:rPr>
          <w:rFonts w:eastAsia="Times New Roman"/>
          <w:b/>
          <w:bCs/>
          <w:color w:val="000000"/>
          <w:sz w:val="24"/>
          <w:szCs w:val="24"/>
        </w:rPr>
      </w:pPr>
      <w:r w:rsidRPr="00C42A6B">
        <w:rPr>
          <w:rFonts w:eastAsia="Times New Roman"/>
          <w:b/>
          <w:bCs/>
          <w:color w:val="000000"/>
          <w:sz w:val="24"/>
          <w:szCs w:val="24"/>
        </w:rPr>
        <w:t>Abstract</w:t>
      </w:r>
    </w:p>
    <w:p w14:paraId="3A992B18" w14:textId="3806B791" w:rsidR="00B12F23" w:rsidRPr="0089554B" w:rsidRDefault="00C42A6B" w:rsidP="00B12F23">
      <w:pPr>
        <w:jc w:val="both"/>
        <w:rPr>
          <w:rFonts w:eastAsia="Times New Roman"/>
          <w:color w:val="000000"/>
          <w:sz w:val="24"/>
          <w:szCs w:val="24"/>
        </w:rPr>
      </w:pPr>
      <w:r w:rsidRPr="00C42A6B">
        <w:rPr>
          <w:rFonts w:eastAsia="Times New Roman"/>
          <w:color w:val="000000"/>
          <w:sz w:val="24"/>
          <w:szCs w:val="24"/>
        </w:rPr>
        <w:br/>
      </w:r>
      <w:r w:rsidR="00B12F23" w:rsidRPr="0089554B">
        <w:rPr>
          <w:rFonts w:eastAsia="Times New Roman"/>
          <w:b/>
          <w:bCs/>
          <w:color w:val="000000"/>
          <w:sz w:val="24"/>
          <w:szCs w:val="24"/>
        </w:rPr>
        <w:t>Context:</w:t>
      </w:r>
      <w:r w:rsidR="00B12F23" w:rsidRPr="0089554B">
        <w:rPr>
          <w:rFonts w:eastAsia="Times New Roman"/>
          <w:color w:val="000000"/>
          <w:sz w:val="24"/>
          <w:szCs w:val="24"/>
        </w:rPr>
        <w:t xml:space="preserve"> </w:t>
      </w:r>
      <w:r w:rsidR="0071504F" w:rsidRPr="0089554B">
        <w:rPr>
          <w:rFonts w:eastAsia="Times New Roman"/>
          <w:color w:val="000000"/>
          <w:sz w:val="24"/>
          <w:szCs w:val="24"/>
        </w:rPr>
        <w:t>17α-hydroxylase/17,20-lyase deficiency (17-OHD) is a rare form of congenital adrenal hyperplasia characterized by hypertension, hypokalemia, and sexual infantilism. Its spectrum ranges from complete deficiency to partial forms with spontaneous puberty and fertility, yet the molecular basis of this heterogeneity remains unclear.</w:t>
      </w:r>
    </w:p>
    <w:p w14:paraId="7088A600" w14:textId="77777777" w:rsidR="00B12F23" w:rsidRPr="0089554B" w:rsidRDefault="00B12F23" w:rsidP="00B12F23">
      <w:pPr>
        <w:jc w:val="both"/>
        <w:rPr>
          <w:rFonts w:eastAsia="Times New Roman"/>
          <w:color w:val="000000"/>
          <w:sz w:val="24"/>
          <w:szCs w:val="24"/>
        </w:rPr>
      </w:pPr>
    </w:p>
    <w:p w14:paraId="21171262" w14:textId="3CAE69C5" w:rsidR="00B12F23" w:rsidRPr="0089554B" w:rsidRDefault="00B12F23" w:rsidP="00B12F23">
      <w:pPr>
        <w:jc w:val="both"/>
        <w:rPr>
          <w:rFonts w:eastAsia="Times New Roman"/>
          <w:color w:val="000000"/>
          <w:sz w:val="24"/>
          <w:szCs w:val="24"/>
        </w:rPr>
      </w:pPr>
      <w:r w:rsidRPr="00B12F23">
        <w:rPr>
          <w:rFonts w:eastAsia="Times New Roman"/>
          <w:b/>
          <w:bCs/>
          <w:color w:val="000000"/>
          <w:sz w:val="24"/>
          <w:szCs w:val="24"/>
        </w:rPr>
        <w:t>Objective:</w:t>
      </w:r>
      <w:r w:rsidRPr="00B12F23">
        <w:rPr>
          <w:rFonts w:eastAsia="Times New Roman"/>
          <w:color w:val="000000"/>
          <w:sz w:val="24"/>
          <w:szCs w:val="24"/>
        </w:rPr>
        <w:t xml:space="preserve"> </w:t>
      </w:r>
      <w:r w:rsidR="0071504F" w:rsidRPr="0089554B">
        <w:rPr>
          <w:rFonts w:eastAsia="Times New Roman"/>
          <w:color w:val="000000"/>
          <w:sz w:val="24"/>
          <w:szCs w:val="24"/>
        </w:rPr>
        <w:t>To elucidate the pathophysiology of 17-OHD by integrating phenotyping with functional and structural characterization of seven CYP17A1 variants: T131P, L209P, G303D, L361P, I296T, R340H, and R449H</w:t>
      </w:r>
      <w:r w:rsidRPr="00B12F23">
        <w:rPr>
          <w:rFonts w:eastAsia="Times New Roman"/>
          <w:color w:val="000000"/>
          <w:sz w:val="24"/>
          <w:szCs w:val="24"/>
        </w:rPr>
        <w:t>.</w:t>
      </w:r>
    </w:p>
    <w:p w14:paraId="7283CB35" w14:textId="77777777" w:rsidR="00B12F23" w:rsidRPr="00B12F23" w:rsidRDefault="00B12F23" w:rsidP="00B12F23">
      <w:pPr>
        <w:jc w:val="both"/>
        <w:rPr>
          <w:rFonts w:eastAsia="Times New Roman"/>
          <w:color w:val="000000"/>
          <w:sz w:val="24"/>
          <w:szCs w:val="24"/>
        </w:rPr>
      </w:pPr>
    </w:p>
    <w:p w14:paraId="0D290B34" w14:textId="5AAAF35A" w:rsidR="00B12F23" w:rsidRPr="0089554B" w:rsidRDefault="00B12F23" w:rsidP="00B12F23">
      <w:pPr>
        <w:jc w:val="both"/>
        <w:rPr>
          <w:rFonts w:eastAsia="Times New Roman"/>
          <w:color w:val="000000"/>
          <w:sz w:val="24"/>
          <w:szCs w:val="24"/>
        </w:rPr>
      </w:pPr>
      <w:r w:rsidRPr="00B12F23">
        <w:rPr>
          <w:rFonts w:eastAsia="Times New Roman"/>
          <w:b/>
          <w:bCs/>
          <w:color w:val="000000"/>
          <w:sz w:val="24"/>
          <w:szCs w:val="24"/>
        </w:rPr>
        <w:t xml:space="preserve">Methods: </w:t>
      </w:r>
      <w:r w:rsidR="0071504F" w:rsidRPr="0089554B">
        <w:rPr>
          <w:rFonts w:eastAsia="Times New Roman"/>
          <w:color w:val="000000"/>
          <w:sz w:val="24"/>
          <w:szCs w:val="24"/>
        </w:rPr>
        <w:t xml:space="preserve">Clinical and hormonal data were obtained from seven probands, including one with the novel T131P mutation. Variants were generated by site-directed mutagenesis in pcDNA3.1 vectors and expressed in HEK-293T cells. Enzymatic activities of 17α-hydroxylase and 17,20-lyase were measured using </w:t>
      </w:r>
      <w:r w:rsidR="0071504F" w:rsidRPr="00662539">
        <w:rPr>
          <w:rFonts w:eastAsia="Times New Roman"/>
          <w:color w:val="000000"/>
          <w:sz w:val="24"/>
          <w:szCs w:val="24"/>
          <w:vertAlign w:val="superscript"/>
        </w:rPr>
        <w:t>14</w:t>
      </w:r>
      <w:r w:rsidR="0071504F" w:rsidRPr="0089554B">
        <w:rPr>
          <w:rFonts w:eastAsia="Times New Roman"/>
          <w:color w:val="000000"/>
          <w:sz w:val="24"/>
          <w:szCs w:val="24"/>
        </w:rPr>
        <w:t xml:space="preserve">C-progesterone and </w:t>
      </w:r>
      <w:r w:rsidR="0071504F" w:rsidRPr="00662539">
        <w:rPr>
          <w:rFonts w:eastAsia="Times New Roman"/>
          <w:color w:val="000000"/>
          <w:sz w:val="24"/>
          <w:szCs w:val="24"/>
          <w:vertAlign w:val="superscript"/>
        </w:rPr>
        <w:t>3</w:t>
      </w:r>
      <w:r w:rsidR="0071504F" w:rsidRPr="0089554B">
        <w:rPr>
          <w:rFonts w:eastAsia="Times New Roman"/>
          <w:color w:val="000000"/>
          <w:sz w:val="24"/>
          <w:szCs w:val="24"/>
        </w:rPr>
        <w:t>H-17OH-pregnenolone substrates and normalized to protein expression by Western blot. In silico structural modeling localized mutations to catalytic or regulatory domains</w:t>
      </w:r>
      <w:r w:rsidRPr="00B12F23">
        <w:rPr>
          <w:rFonts w:eastAsia="Times New Roman"/>
          <w:color w:val="000000"/>
          <w:sz w:val="24"/>
          <w:szCs w:val="24"/>
        </w:rPr>
        <w:t>.</w:t>
      </w:r>
    </w:p>
    <w:p w14:paraId="366F45FB" w14:textId="77777777" w:rsidR="00B12F23" w:rsidRPr="00B12F23" w:rsidRDefault="00B12F23" w:rsidP="00B12F23">
      <w:pPr>
        <w:jc w:val="both"/>
        <w:rPr>
          <w:rFonts w:eastAsia="Times New Roman"/>
          <w:color w:val="000000"/>
          <w:sz w:val="24"/>
          <w:szCs w:val="24"/>
        </w:rPr>
      </w:pPr>
    </w:p>
    <w:p w14:paraId="7A9F75F2" w14:textId="25D32714" w:rsidR="00B12F23" w:rsidRPr="0089554B" w:rsidRDefault="00B12F23" w:rsidP="00B12F23">
      <w:pPr>
        <w:jc w:val="both"/>
        <w:rPr>
          <w:rFonts w:eastAsia="Times New Roman"/>
          <w:color w:val="000000"/>
          <w:sz w:val="24"/>
          <w:szCs w:val="24"/>
        </w:rPr>
      </w:pPr>
      <w:r w:rsidRPr="00B12F23">
        <w:rPr>
          <w:rFonts w:eastAsia="Times New Roman"/>
          <w:b/>
          <w:bCs/>
          <w:color w:val="000000"/>
          <w:sz w:val="24"/>
          <w:szCs w:val="24"/>
        </w:rPr>
        <w:t>Results:</w:t>
      </w:r>
      <w:r w:rsidRPr="00B12F23">
        <w:rPr>
          <w:rFonts w:eastAsia="Times New Roman"/>
          <w:color w:val="000000"/>
          <w:sz w:val="24"/>
          <w:szCs w:val="24"/>
        </w:rPr>
        <w:t xml:space="preserve"> </w:t>
      </w:r>
      <w:r w:rsidR="0071504F" w:rsidRPr="0089554B">
        <w:rPr>
          <w:rFonts w:eastAsia="Times New Roman"/>
          <w:color w:val="000000"/>
          <w:sz w:val="24"/>
          <w:szCs w:val="24"/>
        </w:rPr>
        <w:t xml:space="preserve">Western blot showed mutant proteins were expressed at levels comparable to </w:t>
      </w:r>
      <w:proofErr w:type="gramStart"/>
      <w:r w:rsidR="0071504F" w:rsidRPr="0089554B">
        <w:rPr>
          <w:rFonts w:eastAsia="Times New Roman"/>
          <w:color w:val="000000"/>
          <w:sz w:val="24"/>
          <w:szCs w:val="24"/>
        </w:rPr>
        <w:t>wild-type</w:t>
      </w:r>
      <w:proofErr w:type="gramEnd"/>
      <w:r w:rsidR="0071504F" w:rsidRPr="0089554B">
        <w:rPr>
          <w:rFonts w:eastAsia="Times New Roman"/>
          <w:color w:val="000000"/>
          <w:sz w:val="24"/>
          <w:szCs w:val="24"/>
        </w:rPr>
        <w:t xml:space="preserve">, indicating preserved stability. L209P and G303D showed near-complete loss of hydroxylase activity (&lt;9% of WT), consistent with severe phenotypes. The T131P variant retained ~7% activity, sufficient to permit spontaneous menarche. R449H </w:t>
      </w:r>
      <w:r w:rsidR="0089554B">
        <w:rPr>
          <w:rFonts w:eastAsia="Times New Roman"/>
          <w:color w:val="000000"/>
          <w:sz w:val="24"/>
          <w:szCs w:val="24"/>
        </w:rPr>
        <w:t>retained lyase activity, consistent</w:t>
      </w:r>
      <w:r w:rsidR="0071504F" w:rsidRPr="0089554B">
        <w:rPr>
          <w:rFonts w:eastAsia="Times New Roman"/>
          <w:color w:val="000000"/>
          <w:sz w:val="24"/>
          <w:szCs w:val="24"/>
        </w:rPr>
        <w:t xml:space="preserve"> with a history of fertility. Structural modeling linked activity loss to disruptions in the F-helix (L209P), I-helix (G303D), or redox partner-binding surfaces (R449H), rather than </w:t>
      </w:r>
      <w:r w:rsidR="00DD1F94" w:rsidRPr="00DD1F94">
        <w:rPr>
          <w:rFonts w:eastAsia="Times New Roman"/>
          <w:color w:val="000000"/>
          <w:sz w:val="24"/>
          <w:szCs w:val="24"/>
        </w:rPr>
        <w:t>gross protein misfolding</w:t>
      </w:r>
      <w:r w:rsidRPr="00B12F23">
        <w:rPr>
          <w:rFonts w:eastAsia="Times New Roman"/>
          <w:color w:val="000000"/>
          <w:sz w:val="24"/>
          <w:szCs w:val="24"/>
        </w:rPr>
        <w:t>.</w:t>
      </w:r>
    </w:p>
    <w:p w14:paraId="58D6BA4A" w14:textId="77777777" w:rsidR="00B12F23" w:rsidRPr="00B12F23" w:rsidRDefault="00B12F23" w:rsidP="00B12F23">
      <w:pPr>
        <w:jc w:val="both"/>
        <w:rPr>
          <w:rFonts w:eastAsia="Times New Roman"/>
          <w:color w:val="000000"/>
          <w:sz w:val="24"/>
          <w:szCs w:val="24"/>
        </w:rPr>
      </w:pPr>
    </w:p>
    <w:p w14:paraId="527CBD9F" w14:textId="20046D2E" w:rsidR="00B12F23" w:rsidRPr="00B12F23" w:rsidRDefault="00B12F23" w:rsidP="00B12F23">
      <w:pPr>
        <w:jc w:val="both"/>
        <w:rPr>
          <w:rFonts w:eastAsia="Times New Roman"/>
          <w:color w:val="000000"/>
          <w:sz w:val="24"/>
          <w:szCs w:val="24"/>
        </w:rPr>
      </w:pPr>
      <w:r w:rsidRPr="00B12F23">
        <w:rPr>
          <w:rFonts w:eastAsia="Times New Roman"/>
          <w:b/>
          <w:bCs/>
          <w:color w:val="000000"/>
          <w:sz w:val="24"/>
          <w:szCs w:val="24"/>
        </w:rPr>
        <w:t>Conclusion:</w:t>
      </w:r>
      <w:r w:rsidRPr="00B12F23">
        <w:rPr>
          <w:rFonts w:eastAsia="Times New Roman"/>
          <w:color w:val="000000"/>
          <w:sz w:val="24"/>
          <w:szCs w:val="24"/>
        </w:rPr>
        <w:t xml:space="preserve"> </w:t>
      </w:r>
      <w:r w:rsidR="0071504F" w:rsidRPr="0089554B">
        <w:rPr>
          <w:rFonts w:eastAsia="Times New Roman"/>
          <w:color w:val="000000"/>
          <w:sz w:val="24"/>
          <w:szCs w:val="24"/>
        </w:rPr>
        <w:t>These variants cause disease through specific catalytic or regulatory defects rather than protein instability. Residual activity showed a non-linear relationship with clinical severity, with &lt;10% supporting secondary sexual development. Structural analysis may help predict clinical outcomes and fertility potential in 17-OHD</w:t>
      </w:r>
      <w:r w:rsidRPr="00B12F23">
        <w:rPr>
          <w:rFonts w:eastAsia="Times New Roman"/>
          <w:color w:val="000000"/>
          <w:sz w:val="24"/>
          <w:szCs w:val="24"/>
        </w:rPr>
        <w:t>.</w:t>
      </w:r>
    </w:p>
    <w:p w14:paraId="27F5AACC" w14:textId="16836E95" w:rsidR="00C42A6B" w:rsidRPr="00C42A6B" w:rsidRDefault="00C42A6B" w:rsidP="00B12F23">
      <w:pPr>
        <w:jc w:val="both"/>
        <w:rPr>
          <w:rFonts w:eastAsia="Times New Roman"/>
          <w:color w:val="000000"/>
          <w:sz w:val="24"/>
          <w:szCs w:val="24"/>
        </w:rPr>
      </w:pPr>
    </w:p>
    <w:sectPr w:rsidR="00C42A6B" w:rsidRPr="00C42A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Google Sans">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A92"/>
    <w:rsid w:val="00123DDF"/>
    <w:rsid w:val="00311440"/>
    <w:rsid w:val="00562D38"/>
    <w:rsid w:val="00662539"/>
    <w:rsid w:val="006B6415"/>
    <w:rsid w:val="006D6A92"/>
    <w:rsid w:val="0071504F"/>
    <w:rsid w:val="00886A85"/>
    <w:rsid w:val="0089554B"/>
    <w:rsid w:val="00997830"/>
    <w:rsid w:val="00B12F23"/>
    <w:rsid w:val="00C1730A"/>
    <w:rsid w:val="00C42A6B"/>
    <w:rsid w:val="00DD1F94"/>
    <w:rsid w:val="00E47BA6"/>
    <w:rsid w:val="00ED7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CAE1F"/>
  <w15:chartTrackingRefBased/>
  <w15:docId w15:val="{BCBA6FFC-2120-475B-BC10-F9DC9D2EF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A92"/>
    <w:pPr>
      <w:widowControl w:val="0"/>
      <w:spacing w:after="0" w:line="240" w:lineRule="auto"/>
    </w:pPr>
    <w:rPr>
      <w:rFonts w:ascii="Arial" w:hAnsi="Arial" w:cs="Arial"/>
      <w:kern w:val="0"/>
      <w:sz w:val="22"/>
      <w:szCs w:val="22"/>
      <w14:ligatures w14:val="none"/>
    </w:rPr>
  </w:style>
  <w:style w:type="paragraph" w:styleId="Heading1">
    <w:name w:val="heading 1"/>
    <w:basedOn w:val="Normal"/>
    <w:next w:val="Normal"/>
    <w:link w:val="Heading1Char"/>
    <w:uiPriority w:val="9"/>
    <w:qFormat/>
    <w:rsid w:val="006D6A92"/>
    <w:pPr>
      <w:keepNext/>
      <w:keepLines/>
      <w:widowControl/>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D6A92"/>
    <w:pPr>
      <w:keepNext/>
      <w:keepLines/>
      <w:widowControl/>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D6A92"/>
    <w:pPr>
      <w:keepNext/>
      <w:keepLines/>
      <w:widowControl/>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D6A92"/>
    <w:pPr>
      <w:keepNext/>
      <w:keepLines/>
      <w:widowControl/>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6D6A92"/>
    <w:pPr>
      <w:keepNext/>
      <w:keepLines/>
      <w:widowControl/>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6D6A92"/>
    <w:pPr>
      <w:keepNext/>
      <w:keepLines/>
      <w:widowControl/>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6D6A92"/>
    <w:pPr>
      <w:keepNext/>
      <w:keepLines/>
      <w:widowControl/>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6D6A92"/>
    <w:pPr>
      <w:keepNext/>
      <w:keepLines/>
      <w:widowControl/>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6D6A92"/>
    <w:pPr>
      <w:keepNext/>
      <w:keepLines/>
      <w:widowControl/>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6A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6A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6A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6A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6A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6A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6A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6A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6A92"/>
    <w:rPr>
      <w:rFonts w:eastAsiaTheme="majorEastAsia" w:cstheme="majorBidi"/>
      <w:color w:val="272727" w:themeColor="text1" w:themeTint="D8"/>
    </w:rPr>
  </w:style>
  <w:style w:type="paragraph" w:styleId="Title">
    <w:name w:val="Title"/>
    <w:basedOn w:val="Normal"/>
    <w:next w:val="Normal"/>
    <w:link w:val="TitleChar"/>
    <w:uiPriority w:val="10"/>
    <w:qFormat/>
    <w:rsid w:val="006D6A92"/>
    <w:pPr>
      <w:widowControl/>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D6A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6D6A92"/>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qFormat/>
    <w:rsid w:val="006D6A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6A92"/>
    <w:pPr>
      <w:widowControl/>
      <w:spacing w:before="160" w:after="160" w:line="278" w:lineRule="auto"/>
      <w:jc w:val="center"/>
    </w:pPr>
    <w:rPr>
      <w:rFonts w:ascii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6D6A92"/>
    <w:rPr>
      <w:i/>
      <w:iCs/>
      <w:color w:val="404040" w:themeColor="text1" w:themeTint="BF"/>
    </w:rPr>
  </w:style>
  <w:style w:type="paragraph" w:styleId="ListParagraph">
    <w:name w:val="List Paragraph"/>
    <w:basedOn w:val="Normal"/>
    <w:uiPriority w:val="34"/>
    <w:qFormat/>
    <w:rsid w:val="006D6A92"/>
    <w:pPr>
      <w:widowControl/>
      <w:spacing w:after="160" w:line="278" w:lineRule="auto"/>
      <w:ind w:left="720"/>
      <w:contextualSpacing/>
    </w:pPr>
    <w:rPr>
      <w:rFonts w:ascii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6D6A92"/>
    <w:rPr>
      <w:i/>
      <w:iCs/>
      <w:color w:val="0F4761" w:themeColor="accent1" w:themeShade="BF"/>
    </w:rPr>
  </w:style>
  <w:style w:type="paragraph" w:styleId="IntenseQuote">
    <w:name w:val="Intense Quote"/>
    <w:basedOn w:val="Normal"/>
    <w:next w:val="Normal"/>
    <w:link w:val="IntenseQuoteChar"/>
    <w:uiPriority w:val="30"/>
    <w:qFormat/>
    <w:rsid w:val="006D6A92"/>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6D6A92"/>
    <w:rPr>
      <w:i/>
      <w:iCs/>
      <w:color w:val="0F4761" w:themeColor="accent1" w:themeShade="BF"/>
    </w:rPr>
  </w:style>
  <w:style w:type="character" w:styleId="IntenseReference">
    <w:name w:val="Intense Reference"/>
    <w:basedOn w:val="DefaultParagraphFont"/>
    <w:uiPriority w:val="32"/>
    <w:qFormat/>
    <w:rsid w:val="006D6A92"/>
    <w:rPr>
      <w:b/>
      <w:bCs/>
      <w:smallCaps/>
      <w:color w:val="0F4761" w:themeColor="accent1" w:themeShade="BF"/>
      <w:spacing w:val="5"/>
    </w:rPr>
  </w:style>
  <w:style w:type="paragraph" w:styleId="NormalWeb">
    <w:name w:val="Normal (Web)"/>
    <w:basedOn w:val="Normal"/>
    <w:uiPriority w:val="99"/>
    <w:semiHidden/>
    <w:unhideWhenUsed/>
    <w:rsid w:val="00B12F2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386</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Kaige (STUDENTS)</dc:creator>
  <cp:keywords/>
  <dc:description/>
  <cp:lastModifiedBy>Pandey, Amit Vikram (DBMR)</cp:lastModifiedBy>
  <cp:revision>2</cp:revision>
  <dcterms:created xsi:type="dcterms:W3CDTF">2026-02-15T14:32:00Z</dcterms:created>
  <dcterms:modified xsi:type="dcterms:W3CDTF">2026-02-15T14:32:00Z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37306fdb-f3dc-46f6-883f-34401b3670fe</vt:lpwstr>
  </property>
</Properties>
</file>